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70" w:rsidRDefault="00A96770" w:rsidP="00A96770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4B427D">
        <w:rPr>
          <w:rFonts w:asciiTheme="minorHAnsi" w:hAnsiTheme="minorHAnsi"/>
          <w:sz w:val="32"/>
          <w:szCs w:val="32"/>
        </w:rPr>
        <w:t xml:space="preserve">Enter </w:t>
      </w:r>
      <w:r>
        <w:rPr>
          <w:rFonts w:asciiTheme="minorHAnsi" w:hAnsiTheme="minorHAnsi"/>
          <w:sz w:val="32"/>
          <w:szCs w:val="32"/>
        </w:rPr>
        <w:t>Needs Determination</w:t>
      </w:r>
      <w:r w:rsidRPr="004B427D">
        <w:rPr>
          <w:rFonts w:asciiTheme="minorHAnsi" w:hAnsiTheme="minorHAnsi"/>
          <w:sz w:val="32"/>
          <w:szCs w:val="32"/>
        </w:rPr>
        <w:t xml:space="preserve"> Exercise</w:t>
      </w:r>
    </w:p>
    <w:p w:rsidR="00A96770" w:rsidRDefault="00A96770" w:rsidP="00A96770">
      <w:pPr>
        <w:pStyle w:val="BodyText"/>
      </w:pPr>
    </w:p>
    <w:p w:rsidR="00A96770" w:rsidRPr="00E7712E" w:rsidRDefault="00A96770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A96770" w:rsidRDefault="00A96770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case ID and name of your client to access the homepage. </w:t>
      </w:r>
    </w:p>
    <w:p w:rsidR="00A96770" w:rsidRDefault="00A96770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needs determination link in the left navigation menu under case actions. You will be taken to the </w:t>
      </w:r>
      <w:r>
        <w:rPr>
          <w:b/>
          <w:sz w:val="24"/>
          <w:szCs w:val="24"/>
        </w:rPr>
        <w:t>Needs Determination Results Page</w:t>
      </w:r>
      <w:r>
        <w:rPr>
          <w:sz w:val="24"/>
          <w:szCs w:val="24"/>
        </w:rPr>
        <w:t xml:space="preserve">.  </w:t>
      </w:r>
    </w:p>
    <w:p w:rsidR="00AD70A9" w:rsidRDefault="007B17F2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 the needs determination section of the page, select “Add a new Needs Determination” in the version field from the</w:t>
      </w:r>
      <w:r w:rsidRPr="007B1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drop-down menu.  </w:t>
      </w:r>
    </w:p>
    <w:p w:rsidR="007B17F2" w:rsidRDefault="007B17F2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 the employment goal section of the page, use the drop-down menu to select which of the following employment goals you have established with the client:</w:t>
      </w:r>
    </w:p>
    <w:p w:rsidR="007B17F2" w:rsidRDefault="007B17F2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Full time employment</w:t>
      </w:r>
    </w:p>
    <w:p w:rsidR="007B17F2" w:rsidRDefault="007B17F2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Full capacity employment</w:t>
      </w:r>
    </w:p>
    <w:p w:rsidR="007B17F2" w:rsidRDefault="007B17F2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Self employment</w:t>
      </w:r>
    </w:p>
    <w:p w:rsidR="00F96333" w:rsidRPr="00F96333" w:rsidRDefault="00F96333" w:rsidP="00F96333">
      <w:pPr>
        <w:pStyle w:val="BodyText"/>
        <w:ind w:left="720"/>
        <w:rPr>
          <w:i/>
          <w:color w:val="2254A6" w:themeColor="accent1"/>
          <w:sz w:val="24"/>
          <w:szCs w:val="24"/>
        </w:rPr>
      </w:pPr>
      <w:r w:rsidRPr="00F96333">
        <w:rPr>
          <w:b/>
          <w:i/>
          <w:color w:val="2254A6" w:themeColor="accent1"/>
          <w:sz w:val="24"/>
          <w:szCs w:val="24"/>
        </w:rPr>
        <w:t>Full capacity</w:t>
      </w:r>
      <w:r w:rsidRPr="00F96333">
        <w:rPr>
          <w:i/>
          <w:color w:val="2254A6" w:themeColor="accent1"/>
          <w:sz w:val="24"/>
          <w:szCs w:val="24"/>
        </w:rPr>
        <w:t xml:space="preserve"> is an employment goal specific to persons with disabilities and indicates the full extent of the client’s ability to work.</w:t>
      </w:r>
    </w:p>
    <w:p w:rsidR="007B17F2" w:rsidRDefault="007B17F2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CD7ED6">
        <w:rPr>
          <w:sz w:val="24"/>
          <w:szCs w:val="24"/>
        </w:rPr>
        <w:t>a job title in the job preference 1 field.</w:t>
      </w:r>
    </w:p>
    <w:p w:rsidR="00CD7ED6" w:rsidRDefault="00CD7ED6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NOC search icon </w:t>
      </w:r>
      <w:r>
        <w:rPr>
          <w:noProof/>
          <w:sz w:val="24"/>
          <w:lang w:eastAsia="en-CA"/>
        </w:rPr>
        <w:drawing>
          <wp:inline distT="0" distB="0" distL="0" distR="0">
            <wp:extent cx="237744" cy="228600"/>
            <wp:effectExtent l="19050" t="0" r="0" b="0"/>
            <wp:docPr id="1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to open the NOC (National Occupation Classification) Code Search popup window.  </w:t>
      </w:r>
    </w:p>
    <w:p w:rsidR="00CD7ED6" w:rsidRDefault="00CD7ED6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Search for and select a corresponding NOC code for job preference 1.  Use the NOC Code Search Demonstration script for instructions.   </w:t>
      </w:r>
    </w:p>
    <w:p w:rsidR="00F96333" w:rsidRDefault="00F96333" w:rsidP="00F96333">
      <w:pPr>
        <w:pStyle w:val="BodyText"/>
        <w:ind w:left="720"/>
        <w:jc w:val="left"/>
        <w:rPr>
          <w:i/>
          <w:color w:val="2254A6" w:themeColor="accent1"/>
          <w:sz w:val="24"/>
          <w:szCs w:val="24"/>
        </w:rPr>
      </w:pPr>
      <w:r>
        <w:rPr>
          <w:b/>
          <w:i/>
          <w:color w:val="2254A6" w:themeColor="accent1"/>
          <w:sz w:val="24"/>
          <w:szCs w:val="24"/>
        </w:rPr>
        <w:t xml:space="preserve">Remember, </w:t>
      </w:r>
      <w:r w:rsidRPr="00965230">
        <w:rPr>
          <w:i/>
          <w:color w:val="2254A6" w:themeColor="accent1"/>
          <w:sz w:val="24"/>
          <w:szCs w:val="24"/>
        </w:rPr>
        <w:t xml:space="preserve">you </w:t>
      </w:r>
      <w:r>
        <w:rPr>
          <w:i/>
          <w:color w:val="2254A6" w:themeColor="accent1"/>
          <w:sz w:val="24"/>
          <w:szCs w:val="24"/>
        </w:rPr>
        <w:t xml:space="preserve">can save your progress at any time after this point by clicking save at the top/bottom of the page!   When a case screen is saved, LaMPSS will redirect you to the Case Homepage.  Follow steps 1, 2 &amp; 3 of this exercise to navigate back to this page.  </w:t>
      </w:r>
    </w:p>
    <w:p w:rsidR="00CD7ED6" w:rsidRDefault="00CD7ED6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steps 6-8 for each job preferences 2 &amp; 3, if required. </w:t>
      </w:r>
    </w:p>
    <w:p w:rsidR="005405F8" w:rsidRDefault="005405F8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  <w:r w:rsidRPr="005405F8">
        <w:rPr>
          <w:b/>
          <w:i/>
          <w:color w:val="2254A6" w:themeColor="accent1"/>
          <w:sz w:val="24"/>
          <w:szCs w:val="24"/>
        </w:rPr>
        <w:t>Please note,</w:t>
      </w:r>
      <w:r w:rsidRPr="005405F8">
        <w:rPr>
          <w:i/>
          <w:color w:val="2254A6" w:themeColor="accent1"/>
          <w:sz w:val="24"/>
          <w:szCs w:val="24"/>
        </w:rPr>
        <w:t xml:space="preserve"> if a client is applying for funding and has more than</w:t>
      </w:r>
      <w:r w:rsidR="008B15B1">
        <w:rPr>
          <w:i/>
          <w:color w:val="2254A6" w:themeColor="accent1"/>
          <w:sz w:val="24"/>
          <w:szCs w:val="24"/>
        </w:rPr>
        <w:t xml:space="preserve"> one</w:t>
      </w:r>
      <w:r w:rsidRPr="005405F8">
        <w:rPr>
          <w:i/>
          <w:color w:val="2254A6" w:themeColor="accent1"/>
          <w:sz w:val="24"/>
          <w:szCs w:val="24"/>
        </w:rPr>
        <w:t xml:space="preserve"> job preference identified on their needs determination the information submitted supporting any application for funding to ENS will need to address each of the job preferences listed.</w:t>
      </w:r>
    </w:p>
    <w:p w:rsidR="00CD064C" w:rsidRDefault="00CD064C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</w:p>
    <w:p w:rsidR="00CD064C" w:rsidRDefault="00CD064C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</w:p>
    <w:p w:rsidR="00CD064C" w:rsidRDefault="00CD064C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</w:p>
    <w:p w:rsidR="00CD064C" w:rsidRPr="005405F8" w:rsidRDefault="00CD064C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</w:p>
    <w:p w:rsidR="00CD7ED6" w:rsidRDefault="00CD7ED6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</w:t>
      </w:r>
      <w:proofErr w:type="gramStart"/>
      <w:r>
        <w:rPr>
          <w:sz w:val="24"/>
          <w:szCs w:val="24"/>
        </w:rPr>
        <w:t>the add</w:t>
      </w:r>
      <w:proofErr w:type="gramEnd"/>
      <w:r>
        <w:rPr>
          <w:sz w:val="24"/>
          <w:szCs w:val="24"/>
        </w:rPr>
        <w:t xml:space="preserve"> another button in the employment barrier section of the page.  A new, blank row will be added to the page. </w:t>
      </w:r>
      <w:r w:rsidR="008E618E">
        <w:rPr>
          <w:sz w:val="24"/>
          <w:szCs w:val="24"/>
        </w:rPr>
        <w:t xml:space="preserve">Use </w:t>
      </w:r>
      <w:proofErr w:type="gramStart"/>
      <w:r w:rsidR="008E618E">
        <w:rPr>
          <w:sz w:val="24"/>
          <w:szCs w:val="24"/>
        </w:rPr>
        <w:t>the add</w:t>
      </w:r>
      <w:proofErr w:type="gramEnd"/>
      <w:r w:rsidR="008E618E">
        <w:rPr>
          <w:sz w:val="24"/>
          <w:szCs w:val="24"/>
        </w:rPr>
        <w:t xml:space="preserve"> another button to add as many rows as required.  For each record provide:</w:t>
      </w:r>
    </w:p>
    <w:p w:rsidR="00CD7ED6" w:rsidRDefault="008E618E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Dimension</w:t>
      </w:r>
    </w:p>
    <w:p w:rsidR="00CD7ED6" w:rsidRDefault="008E618E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Barrier type</w:t>
      </w:r>
    </w:p>
    <w:p w:rsidR="008E618E" w:rsidRDefault="008E618E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Relevant to goal</w:t>
      </w:r>
    </w:p>
    <w:p w:rsidR="00CD064C" w:rsidRDefault="00CD064C" w:rsidP="006410AC">
      <w:pPr>
        <w:pStyle w:val="BodyTex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Barrier description (click the add/view barrier description icon </w:t>
      </w:r>
      <w:r w:rsidRPr="00CD064C">
        <w:rPr>
          <w:noProof/>
          <w:sz w:val="24"/>
          <w:szCs w:val="24"/>
          <w:lang w:eastAsia="en-CA"/>
        </w:rPr>
        <w:drawing>
          <wp:inline distT="0" distB="0" distL="0" distR="0">
            <wp:extent cx="190500" cy="219075"/>
            <wp:effectExtent l="19050" t="0" r="0" b="0"/>
            <wp:docPr id="1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to enter text describing each barrier)</w:t>
      </w:r>
    </w:p>
    <w:p w:rsidR="005405F8" w:rsidRPr="005405F8" w:rsidRDefault="005405F8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  <w:r w:rsidRPr="005405F8">
        <w:rPr>
          <w:b/>
          <w:i/>
          <w:color w:val="2254A6" w:themeColor="accent1"/>
          <w:sz w:val="24"/>
          <w:szCs w:val="24"/>
        </w:rPr>
        <w:t>Remember</w:t>
      </w:r>
      <w:r w:rsidRPr="005405F8">
        <w:rPr>
          <w:i/>
          <w:color w:val="2254A6" w:themeColor="accent1"/>
          <w:sz w:val="24"/>
          <w:szCs w:val="24"/>
        </w:rPr>
        <w:t>, use case notes to capture any relevant information!  They are an important tool to capture the “thinking” that has gone on at different points in the case management lifecycle.</w:t>
      </w:r>
    </w:p>
    <w:p w:rsidR="008E618E" w:rsidRDefault="008E618E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Select the checkbox in the needs determination header to indicate that this version of the needs determination is completed.</w:t>
      </w:r>
    </w:p>
    <w:p w:rsidR="005405F8" w:rsidRDefault="00205771" w:rsidP="005405F8">
      <w:pPr>
        <w:pStyle w:val="BodyText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9" type="#_x0000_t32" style="position:absolute;left:0;text-align:left;margin-left:79.5pt;margin-top:174.6pt;width:45pt;height:6.75pt;z-index:251718656" o:connectortype="straight" strokecolor="#c00000" strokeweight="1.75pt">
            <v:stroke endarrow="block"/>
          </v:shape>
        </w:pict>
      </w:r>
      <w:r>
        <w:rPr>
          <w:noProof/>
          <w:lang w:eastAsia="en-CA"/>
        </w:rPr>
        <w:drawing>
          <wp:inline distT="0" distB="0" distL="0" distR="0" wp14:anchorId="62846862" wp14:editId="4234340B">
            <wp:extent cx="5654814" cy="5130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2137" cy="51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F8" w:rsidRDefault="005405F8" w:rsidP="005405F8">
      <w:pPr>
        <w:pStyle w:val="BodyText"/>
        <w:rPr>
          <w:sz w:val="24"/>
          <w:szCs w:val="24"/>
        </w:rPr>
      </w:pPr>
      <w:bookmarkStart w:id="0" w:name="_GoBack"/>
      <w:bookmarkEnd w:id="0"/>
    </w:p>
    <w:p w:rsidR="008E618E" w:rsidRDefault="008E618E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>. A popup message will appear: “By selecting completed you are locking this version.  No further changes to the version will be allowed.  Are you sure you want to complete this version?”</w:t>
      </w:r>
    </w:p>
    <w:p w:rsidR="005405F8" w:rsidRPr="005405F8" w:rsidRDefault="005405F8" w:rsidP="005405F8">
      <w:pPr>
        <w:pStyle w:val="BodyText"/>
        <w:ind w:left="720"/>
        <w:rPr>
          <w:i/>
          <w:color w:val="2254A6" w:themeColor="accent1"/>
          <w:sz w:val="24"/>
          <w:szCs w:val="24"/>
        </w:rPr>
      </w:pPr>
      <w:r w:rsidRPr="005405F8">
        <w:rPr>
          <w:b/>
          <w:i/>
          <w:color w:val="2254A6" w:themeColor="accent1"/>
          <w:sz w:val="24"/>
          <w:szCs w:val="24"/>
        </w:rPr>
        <w:t xml:space="preserve">Please note, </w:t>
      </w:r>
      <w:r w:rsidRPr="005405F8">
        <w:rPr>
          <w:i/>
          <w:color w:val="2254A6" w:themeColor="accent1"/>
          <w:sz w:val="24"/>
          <w:szCs w:val="24"/>
        </w:rPr>
        <w:t>a minimum of 1 version of the needs determination must be completed before the case can move into RTWAP development status.</w:t>
      </w:r>
    </w:p>
    <w:p w:rsidR="008E618E" w:rsidRDefault="008E618E" w:rsidP="006410AC">
      <w:pPr>
        <w:pStyle w:val="Body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Select OK.  You will be redirected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. </w:t>
      </w:r>
    </w:p>
    <w:p w:rsidR="008E618E" w:rsidRDefault="008E618E" w:rsidP="005405F8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4146DA" w:rsidRDefault="002674DB" w:rsidP="004146DA">
      <w:pPr>
        <w:jc w:val="left"/>
        <w:rPr>
          <w:rFonts w:asciiTheme="minorHAnsi" w:hAnsiTheme="minorHAnsi"/>
          <w:sz w:val="24"/>
        </w:rPr>
      </w:pPr>
    </w:p>
    <w:sectPr w:rsidR="002674DB" w:rsidRPr="004146DA" w:rsidSect="00AA28A1">
      <w:headerReference w:type="default" r:id="rId16"/>
      <w:footerReference w:type="default" r:id="rId17"/>
      <w:headerReference w:type="first" r:id="rId1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2F264E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205771">
          <w:rPr>
            <w:rFonts w:ascii="Calibri" w:hAnsi="Calibri"/>
            <w:noProof/>
            <w:sz w:val="20"/>
          </w:rPr>
          <w:t>2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61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05771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64E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46DA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1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3" type="connector" idref="#_x0000_s2359"/>
        <o:r id="V:Rule4" type="connector" idref="#_x0000_s23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CA6F37B-A85A-401B-95DD-8C65E016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2801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43</cp:revision>
  <cp:lastPrinted>2012-01-27T17:36:00Z</cp:lastPrinted>
  <dcterms:created xsi:type="dcterms:W3CDTF">2012-01-18T17:19:00Z</dcterms:created>
  <dcterms:modified xsi:type="dcterms:W3CDTF">2013-04-04T14:53:00Z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