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EB813" w14:textId="24AA9D62" w:rsidR="00370FB8" w:rsidRPr="00370FB8" w:rsidRDefault="00370FB8" w:rsidP="00370FB8">
      <w:pPr>
        <w:rPr>
          <w:bCs/>
          <w:i/>
          <w:iCs/>
          <w:sz w:val="24"/>
          <w:szCs w:val="24"/>
        </w:rPr>
      </w:pPr>
      <w:r w:rsidRPr="00370FB8">
        <w:rPr>
          <w:bCs/>
          <w:i/>
          <w:iCs/>
          <w:sz w:val="24"/>
          <w:szCs w:val="24"/>
        </w:rPr>
        <w:t xml:space="preserve">[Note: This template policy has been provided by the FRPA Review Office for informational purposes. </w:t>
      </w:r>
      <w:r w:rsidR="00576DA9">
        <w:rPr>
          <w:bCs/>
          <w:i/>
          <w:iCs/>
          <w:sz w:val="24"/>
          <w:szCs w:val="24"/>
        </w:rPr>
        <w:t>Regulating bodies must customize this policy</w:t>
      </w:r>
      <w:r w:rsidRPr="00370FB8">
        <w:rPr>
          <w:bCs/>
          <w:i/>
          <w:iCs/>
          <w:sz w:val="24"/>
          <w:szCs w:val="24"/>
        </w:rPr>
        <w:t xml:space="preserve"> </w:t>
      </w:r>
      <w:r w:rsidR="00576DA9">
        <w:rPr>
          <w:bCs/>
          <w:i/>
          <w:iCs/>
          <w:sz w:val="24"/>
          <w:szCs w:val="24"/>
        </w:rPr>
        <w:t>to meet their</w:t>
      </w:r>
      <w:r w:rsidRPr="00370FB8">
        <w:rPr>
          <w:bCs/>
          <w:i/>
          <w:iCs/>
          <w:sz w:val="24"/>
          <w:szCs w:val="24"/>
        </w:rPr>
        <w:t xml:space="preserve"> specific needs </w:t>
      </w:r>
      <w:r>
        <w:rPr>
          <w:bCs/>
          <w:i/>
          <w:iCs/>
          <w:sz w:val="24"/>
          <w:szCs w:val="24"/>
        </w:rPr>
        <w:t>and to comply with the process, wording</w:t>
      </w:r>
      <w:r w:rsidR="00120AE0">
        <w:rPr>
          <w:bCs/>
          <w:i/>
          <w:iCs/>
          <w:sz w:val="24"/>
          <w:szCs w:val="24"/>
        </w:rPr>
        <w:t>,</w:t>
      </w:r>
      <w:r>
        <w:rPr>
          <w:bCs/>
          <w:i/>
          <w:iCs/>
          <w:sz w:val="24"/>
          <w:szCs w:val="24"/>
        </w:rPr>
        <w:t xml:space="preserve"> and time frames set out in the</w:t>
      </w:r>
      <w:r w:rsidR="00576DA9">
        <w:rPr>
          <w:bCs/>
          <w:i/>
          <w:iCs/>
          <w:sz w:val="24"/>
          <w:szCs w:val="24"/>
        </w:rPr>
        <w:t xml:space="preserve">ir </w:t>
      </w:r>
      <w:r>
        <w:rPr>
          <w:bCs/>
          <w:i/>
          <w:iCs/>
          <w:sz w:val="24"/>
          <w:szCs w:val="24"/>
        </w:rPr>
        <w:t>governing legislation</w:t>
      </w:r>
      <w:r w:rsidR="00120AE0">
        <w:rPr>
          <w:bCs/>
          <w:i/>
          <w:iCs/>
          <w:sz w:val="24"/>
          <w:szCs w:val="24"/>
        </w:rPr>
        <w:t xml:space="preserve"> and regulations</w:t>
      </w:r>
      <w:r>
        <w:rPr>
          <w:bCs/>
          <w:i/>
          <w:iCs/>
          <w:sz w:val="24"/>
          <w:szCs w:val="24"/>
        </w:rPr>
        <w:t xml:space="preserve">. A regulating body’s internal review process </w:t>
      </w:r>
      <w:r w:rsidRPr="00370FB8">
        <w:rPr>
          <w:bCs/>
          <w:i/>
          <w:iCs/>
          <w:sz w:val="24"/>
          <w:szCs w:val="24"/>
        </w:rPr>
        <w:t>does not have to be in exactly this form</w:t>
      </w:r>
      <w:r>
        <w:rPr>
          <w:bCs/>
          <w:i/>
          <w:iCs/>
          <w:sz w:val="24"/>
          <w:szCs w:val="24"/>
        </w:rPr>
        <w:t>, or follow the exact process set out in this form,</w:t>
      </w:r>
      <w:r w:rsidRPr="00370FB8">
        <w:rPr>
          <w:bCs/>
          <w:i/>
          <w:iCs/>
          <w:sz w:val="24"/>
          <w:szCs w:val="24"/>
        </w:rPr>
        <w:t xml:space="preserve"> in order to comply with Section 10 of FRPA, Internal Review Process.</w:t>
      </w:r>
      <w:r w:rsidR="00B50012">
        <w:rPr>
          <w:bCs/>
          <w:i/>
          <w:iCs/>
          <w:sz w:val="24"/>
          <w:szCs w:val="24"/>
        </w:rPr>
        <w:t>]</w:t>
      </w:r>
    </w:p>
    <w:p w14:paraId="0921978A" w14:textId="0BDB3A78" w:rsidR="00370FB8" w:rsidRDefault="00690274" w:rsidP="00370FB8">
      <w:pPr>
        <w:jc w:val="center"/>
        <w:rPr>
          <w:b/>
          <w:sz w:val="28"/>
          <w:szCs w:val="28"/>
        </w:rPr>
      </w:pPr>
      <w:r>
        <w:rPr>
          <w:b/>
          <w:sz w:val="28"/>
          <w:szCs w:val="28"/>
        </w:rPr>
        <w:t xml:space="preserve">POLICY ON INTERNAL REVIEWS OF REGISTRATION DECISIONS </w:t>
      </w:r>
    </w:p>
    <w:p w14:paraId="1EE8341F" w14:textId="4DA2A132" w:rsidR="00903E39" w:rsidRDefault="00903E39" w:rsidP="00903E39">
      <w:pPr>
        <w:rPr>
          <w:sz w:val="24"/>
          <w:szCs w:val="24"/>
        </w:rPr>
      </w:pPr>
      <w:r>
        <w:rPr>
          <w:sz w:val="24"/>
          <w:szCs w:val="24"/>
        </w:rPr>
        <w:t xml:space="preserve">The [ORGANIZATION] provides the following process for review of registration decisions. </w:t>
      </w:r>
    </w:p>
    <w:p w14:paraId="730ED261" w14:textId="057C7542" w:rsidR="00DF39B3" w:rsidRDefault="00DF39B3" w:rsidP="00903E39">
      <w:pPr>
        <w:rPr>
          <w:b/>
          <w:sz w:val="24"/>
          <w:szCs w:val="24"/>
        </w:rPr>
      </w:pPr>
      <w:r>
        <w:rPr>
          <w:b/>
          <w:sz w:val="24"/>
          <w:szCs w:val="24"/>
        </w:rPr>
        <w:t>Definitions</w:t>
      </w:r>
    </w:p>
    <w:p w14:paraId="12AB190E" w14:textId="0AE2C6F3" w:rsidR="00DF39B3" w:rsidRDefault="00DF39B3" w:rsidP="00903E39">
      <w:pPr>
        <w:rPr>
          <w:sz w:val="24"/>
          <w:szCs w:val="24"/>
        </w:rPr>
      </w:pPr>
      <w:r>
        <w:rPr>
          <w:i/>
          <w:sz w:val="24"/>
          <w:szCs w:val="24"/>
        </w:rPr>
        <w:t xml:space="preserve">Committee </w:t>
      </w:r>
      <w:r>
        <w:rPr>
          <w:sz w:val="24"/>
          <w:szCs w:val="24"/>
        </w:rPr>
        <w:t>means the Internal Review Committee</w:t>
      </w:r>
    </w:p>
    <w:p w14:paraId="0E9FEBBE" w14:textId="69513014" w:rsidR="00CA19EC" w:rsidRDefault="00DF39B3" w:rsidP="00903E39">
      <w:pPr>
        <w:rPr>
          <w:sz w:val="24"/>
          <w:szCs w:val="24"/>
        </w:rPr>
      </w:pPr>
      <w:r>
        <w:rPr>
          <w:i/>
          <w:sz w:val="24"/>
          <w:szCs w:val="24"/>
        </w:rPr>
        <w:t xml:space="preserve">Parties </w:t>
      </w:r>
      <w:r>
        <w:rPr>
          <w:sz w:val="24"/>
          <w:szCs w:val="24"/>
        </w:rPr>
        <w:t xml:space="preserve">refers to the applicant and the </w:t>
      </w:r>
      <w:r w:rsidR="00CA19EC">
        <w:rPr>
          <w:sz w:val="24"/>
          <w:szCs w:val="24"/>
        </w:rPr>
        <w:t>Registrar</w:t>
      </w:r>
    </w:p>
    <w:p w14:paraId="6AAE5AA3" w14:textId="29AB1CA6" w:rsidR="00690274" w:rsidRDefault="00690274" w:rsidP="00903E39">
      <w:pPr>
        <w:rPr>
          <w:sz w:val="24"/>
          <w:szCs w:val="24"/>
        </w:rPr>
      </w:pPr>
      <w:r>
        <w:rPr>
          <w:i/>
          <w:sz w:val="24"/>
          <w:szCs w:val="24"/>
        </w:rPr>
        <w:t xml:space="preserve">Policy </w:t>
      </w:r>
      <w:r>
        <w:rPr>
          <w:sz w:val="24"/>
          <w:szCs w:val="24"/>
        </w:rPr>
        <w:t>is the Policy on Internal Reviews of Registration Decisions</w:t>
      </w:r>
    </w:p>
    <w:p w14:paraId="2476E672" w14:textId="698A2D4E" w:rsidR="004B778F" w:rsidRPr="00CB4349" w:rsidRDefault="004B778F" w:rsidP="00903E39">
      <w:pPr>
        <w:rPr>
          <w:sz w:val="24"/>
          <w:szCs w:val="24"/>
        </w:rPr>
      </w:pPr>
      <w:r>
        <w:rPr>
          <w:sz w:val="24"/>
          <w:szCs w:val="24"/>
        </w:rPr>
        <w:t>[</w:t>
      </w:r>
      <w:r>
        <w:rPr>
          <w:i/>
          <w:sz w:val="24"/>
          <w:szCs w:val="24"/>
        </w:rPr>
        <w:t>Note that your organization may use different terminology than included in this policy.  The language in this policy has been chosen for consistency with the FRPA.  The FRPA uses the language of “internal review” while your governing legislation may refer to an “Appeal”</w:t>
      </w:r>
      <w:r w:rsidR="00B50012">
        <w:rPr>
          <w:i/>
          <w:sz w:val="24"/>
          <w:szCs w:val="24"/>
        </w:rPr>
        <w:t>,</w:t>
      </w:r>
      <w:r w:rsidR="00D81D89">
        <w:rPr>
          <w:i/>
          <w:sz w:val="24"/>
          <w:szCs w:val="24"/>
        </w:rPr>
        <w:t xml:space="preserve"> etc</w:t>
      </w:r>
      <w:r>
        <w:rPr>
          <w:i/>
          <w:sz w:val="24"/>
          <w:szCs w:val="24"/>
        </w:rPr>
        <w:t>.  Use wording</w:t>
      </w:r>
      <w:r w:rsidR="00804D3E">
        <w:rPr>
          <w:i/>
          <w:sz w:val="24"/>
          <w:szCs w:val="24"/>
        </w:rPr>
        <w:t xml:space="preserve"> that is consistent with </w:t>
      </w:r>
      <w:r>
        <w:rPr>
          <w:i/>
          <w:sz w:val="24"/>
          <w:szCs w:val="24"/>
        </w:rPr>
        <w:t xml:space="preserve">your legislation. </w:t>
      </w:r>
      <w:r w:rsidR="00CB4349">
        <w:rPr>
          <w:i/>
          <w:sz w:val="24"/>
          <w:szCs w:val="24"/>
        </w:rPr>
        <w:t>The Registrar is the person/group who makes registration decisions.  Again, use your organization’s own language – this might be the Board or the CEO</w:t>
      </w:r>
      <w:r w:rsidR="00B50012">
        <w:rPr>
          <w:i/>
          <w:sz w:val="24"/>
          <w:szCs w:val="24"/>
        </w:rPr>
        <w:t>,</w:t>
      </w:r>
      <w:r w:rsidR="00CB4349">
        <w:rPr>
          <w:i/>
          <w:sz w:val="24"/>
          <w:szCs w:val="24"/>
        </w:rPr>
        <w:t xml:space="preserve"> etc.</w:t>
      </w:r>
      <w:r w:rsidR="00CB4349">
        <w:rPr>
          <w:sz w:val="24"/>
          <w:szCs w:val="24"/>
        </w:rPr>
        <w:t>]</w:t>
      </w:r>
    </w:p>
    <w:p w14:paraId="5EADD82A" w14:textId="1FE1151A" w:rsidR="00903E39" w:rsidRDefault="00903E39" w:rsidP="00903E39">
      <w:pPr>
        <w:rPr>
          <w:b/>
          <w:sz w:val="24"/>
          <w:szCs w:val="24"/>
        </w:rPr>
      </w:pPr>
      <w:r>
        <w:rPr>
          <w:b/>
          <w:sz w:val="24"/>
          <w:szCs w:val="24"/>
        </w:rPr>
        <w:t>Composition of the Internal Review Committee</w:t>
      </w:r>
    </w:p>
    <w:p w14:paraId="18F33E92" w14:textId="1A0A7C5B" w:rsidR="00903E39" w:rsidRDefault="00521EF3" w:rsidP="00903E39">
      <w:pPr>
        <w:pStyle w:val="ListParagraph"/>
        <w:numPr>
          <w:ilvl w:val="0"/>
          <w:numId w:val="1"/>
        </w:numPr>
        <w:rPr>
          <w:sz w:val="24"/>
          <w:szCs w:val="24"/>
        </w:rPr>
      </w:pPr>
      <w:r>
        <w:rPr>
          <w:sz w:val="24"/>
          <w:szCs w:val="24"/>
        </w:rPr>
        <w:t xml:space="preserve">An Internal Review Committee will be established from the following groups: </w:t>
      </w:r>
    </w:p>
    <w:p w14:paraId="5A1A3C52" w14:textId="2EE88B7D" w:rsidR="00903E39" w:rsidRDefault="00903E39" w:rsidP="00903E39">
      <w:pPr>
        <w:pStyle w:val="ListParagraph"/>
        <w:numPr>
          <w:ilvl w:val="0"/>
          <w:numId w:val="2"/>
        </w:numPr>
        <w:rPr>
          <w:sz w:val="24"/>
          <w:szCs w:val="24"/>
        </w:rPr>
      </w:pPr>
      <w:r>
        <w:rPr>
          <w:sz w:val="24"/>
          <w:szCs w:val="24"/>
        </w:rPr>
        <w:t>[number] [source of membership]</w:t>
      </w:r>
    </w:p>
    <w:p w14:paraId="2A3BF801" w14:textId="2F75DC37" w:rsidR="008258E3" w:rsidRPr="008258E3" w:rsidRDefault="008258E3" w:rsidP="008258E3">
      <w:pPr>
        <w:pStyle w:val="ListParagraph"/>
        <w:numPr>
          <w:ilvl w:val="0"/>
          <w:numId w:val="2"/>
        </w:numPr>
        <w:rPr>
          <w:sz w:val="24"/>
          <w:szCs w:val="24"/>
        </w:rPr>
      </w:pPr>
      <w:r>
        <w:rPr>
          <w:sz w:val="24"/>
          <w:szCs w:val="24"/>
        </w:rPr>
        <w:t>[number] [source of membership]</w:t>
      </w:r>
    </w:p>
    <w:p w14:paraId="7A7D200B" w14:textId="76AFF685" w:rsidR="00903E39" w:rsidRDefault="00903E39" w:rsidP="00B05759">
      <w:pPr>
        <w:pStyle w:val="ListParagraph"/>
        <w:numPr>
          <w:ilvl w:val="0"/>
          <w:numId w:val="1"/>
        </w:numPr>
        <w:rPr>
          <w:sz w:val="24"/>
          <w:szCs w:val="24"/>
        </w:rPr>
      </w:pPr>
      <w:r w:rsidRPr="00B05759">
        <w:rPr>
          <w:sz w:val="24"/>
          <w:szCs w:val="24"/>
        </w:rPr>
        <w:t xml:space="preserve">No one who acted as a decision-maker in reaching the original registration </w:t>
      </w:r>
      <w:r w:rsidR="00370FB8">
        <w:rPr>
          <w:sz w:val="24"/>
          <w:szCs w:val="24"/>
        </w:rPr>
        <w:t xml:space="preserve">decision </w:t>
      </w:r>
      <w:r w:rsidRPr="00B05759">
        <w:rPr>
          <w:sz w:val="24"/>
          <w:szCs w:val="24"/>
        </w:rPr>
        <w:t xml:space="preserve">may serve on the Internal </w:t>
      </w:r>
      <w:r w:rsidR="00690274">
        <w:rPr>
          <w:sz w:val="24"/>
          <w:szCs w:val="24"/>
        </w:rPr>
        <w:t>R</w:t>
      </w:r>
      <w:r w:rsidRPr="00B05759">
        <w:rPr>
          <w:sz w:val="24"/>
          <w:szCs w:val="24"/>
        </w:rPr>
        <w:t>eview Committee.</w:t>
      </w:r>
    </w:p>
    <w:p w14:paraId="666AAE32" w14:textId="157E9EF4" w:rsidR="00690274" w:rsidRDefault="00690274" w:rsidP="00B05759">
      <w:pPr>
        <w:pStyle w:val="ListParagraph"/>
        <w:numPr>
          <w:ilvl w:val="0"/>
          <w:numId w:val="1"/>
        </w:numPr>
        <w:rPr>
          <w:sz w:val="24"/>
          <w:szCs w:val="24"/>
        </w:rPr>
      </w:pPr>
      <w:r>
        <w:rPr>
          <w:sz w:val="24"/>
          <w:szCs w:val="24"/>
        </w:rPr>
        <w:t xml:space="preserve">Internal Review Committee members will participate in training prior to participating in an internal review hearing. </w:t>
      </w:r>
    </w:p>
    <w:p w14:paraId="35A4A22D" w14:textId="613D84FC" w:rsidR="00CB4349" w:rsidRPr="00CB4349" w:rsidRDefault="00CB4349" w:rsidP="00CB4349">
      <w:pPr>
        <w:rPr>
          <w:sz w:val="24"/>
          <w:szCs w:val="24"/>
        </w:rPr>
      </w:pPr>
      <w:r>
        <w:rPr>
          <w:sz w:val="24"/>
          <w:szCs w:val="24"/>
        </w:rPr>
        <w:t>[</w:t>
      </w:r>
      <w:r>
        <w:rPr>
          <w:i/>
          <w:sz w:val="24"/>
          <w:szCs w:val="24"/>
        </w:rPr>
        <w:t>It is a requirement of the FRPA that original decision-makers not participate in the internal review decision.  It is also a requirement that internal review decision-makers receive appropriate training.  We recommend training in administrative law, cultural competency</w:t>
      </w:r>
      <w:r w:rsidR="001E0747">
        <w:rPr>
          <w:i/>
          <w:sz w:val="24"/>
          <w:szCs w:val="24"/>
        </w:rPr>
        <w:t>, governance</w:t>
      </w:r>
      <w:r>
        <w:rPr>
          <w:i/>
          <w:sz w:val="24"/>
          <w:szCs w:val="24"/>
        </w:rPr>
        <w:t xml:space="preserve"> and principles of fundamental justice.  The FRPA Review Office can help you find resources to train decision-makers and assist in developing a training plan.</w:t>
      </w:r>
      <w:r>
        <w:rPr>
          <w:sz w:val="24"/>
          <w:szCs w:val="24"/>
        </w:rPr>
        <w:t>]</w:t>
      </w:r>
    </w:p>
    <w:p w14:paraId="3FA8EF20" w14:textId="3AD6CD6C" w:rsidR="00903E39" w:rsidRDefault="00903E39" w:rsidP="00903E39">
      <w:pPr>
        <w:rPr>
          <w:b/>
          <w:sz w:val="24"/>
          <w:szCs w:val="24"/>
        </w:rPr>
      </w:pPr>
      <w:r>
        <w:rPr>
          <w:b/>
          <w:sz w:val="24"/>
          <w:szCs w:val="24"/>
        </w:rPr>
        <w:t xml:space="preserve">Notification of Right to Internal Review </w:t>
      </w:r>
    </w:p>
    <w:p w14:paraId="5C6B796A" w14:textId="77777777" w:rsidR="00903E39" w:rsidRDefault="00903E39" w:rsidP="00903E39">
      <w:pPr>
        <w:pStyle w:val="ListParagraph"/>
        <w:numPr>
          <w:ilvl w:val="0"/>
          <w:numId w:val="1"/>
        </w:numPr>
        <w:rPr>
          <w:sz w:val="24"/>
          <w:szCs w:val="24"/>
        </w:rPr>
      </w:pPr>
      <w:r>
        <w:rPr>
          <w:sz w:val="24"/>
          <w:szCs w:val="24"/>
        </w:rPr>
        <w:lastRenderedPageBreak/>
        <w:t xml:space="preserve">When an applicant is not granted registration with the [ORGANIZATION], they will be informed of the decision by letter. </w:t>
      </w:r>
    </w:p>
    <w:p w14:paraId="027E3622" w14:textId="2E5A7208" w:rsidR="007638E9" w:rsidRDefault="00B127B9" w:rsidP="00903E39">
      <w:pPr>
        <w:pStyle w:val="ListParagraph"/>
        <w:numPr>
          <w:ilvl w:val="0"/>
          <w:numId w:val="1"/>
        </w:numPr>
        <w:rPr>
          <w:sz w:val="24"/>
          <w:szCs w:val="24"/>
        </w:rPr>
      </w:pPr>
      <w:r>
        <w:rPr>
          <w:sz w:val="24"/>
          <w:szCs w:val="24"/>
        </w:rPr>
        <w:t>The letter shall include</w:t>
      </w:r>
      <w:r w:rsidR="007638E9">
        <w:rPr>
          <w:sz w:val="24"/>
          <w:szCs w:val="24"/>
        </w:rPr>
        <w:t>:</w:t>
      </w:r>
    </w:p>
    <w:p w14:paraId="3FE98420" w14:textId="39C12795" w:rsidR="007638E9" w:rsidRDefault="00B127B9" w:rsidP="004774A8">
      <w:pPr>
        <w:pStyle w:val="ListParagraph"/>
        <w:numPr>
          <w:ilvl w:val="0"/>
          <w:numId w:val="4"/>
        </w:numPr>
        <w:rPr>
          <w:sz w:val="24"/>
          <w:szCs w:val="24"/>
        </w:rPr>
      </w:pPr>
      <w:r>
        <w:rPr>
          <w:sz w:val="24"/>
          <w:szCs w:val="24"/>
        </w:rPr>
        <w:t>reasons for the registration decision</w:t>
      </w:r>
      <w:r w:rsidR="00CE7A2A">
        <w:rPr>
          <w:sz w:val="24"/>
          <w:szCs w:val="24"/>
        </w:rPr>
        <w:t>;</w:t>
      </w:r>
    </w:p>
    <w:p w14:paraId="1D87D64A" w14:textId="5E55341B" w:rsidR="007638E9" w:rsidRDefault="00B127B9" w:rsidP="004774A8">
      <w:pPr>
        <w:pStyle w:val="ListParagraph"/>
        <w:numPr>
          <w:ilvl w:val="0"/>
          <w:numId w:val="4"/>
        </w:numPr>
        <w:rPr>
          <w:sz w:val="24"/>
          <w:szCs w:val="24"/>
        </w:rPr>
      </w:pPr>
      <w:r>
        <w:rPr>
          <w:sz w:val="24"/>
          <w:szCs w:val="24"/>
        </w:rPr>
        <w:t>a statement that indicates the applicant’s right to internal review</w:t>
      </w:r>
      <w:r w:rsidR="00CE7A2A">
        <w:rPr>
          <w:sz w:val="24"/>
          <w:szCs w:val="24"/>
        </w:rPr>
        <w:t>;</w:t>
      </w:r>
      <w:r w:rsidR="007638E9">
        <w:rPr>
          <w:sz w:val="24"/>
          <w:szCs w:val="24"/>
        </w:rPr>
        <w:t xml:space="preserve"> and</w:t>
      </w:r>
    </w:p>
    <w:p w14:paraId="5D9375A2" w14:textId="42186269" w:rsidR="00903E39" w:rsidRDefault="00B127B9" w:rsidP="004774A8">
      <w:pPr>
        <w:pStyle w:val="ListParagraph"/>
        <w:numPr>
          <w:ilvl w:val="0"/>
          <w:numId w:val="4"/>
        </w:numPr>
        <w:rPr>
          <w:sz w:val="24"/>
          <w:szCs w:val="24"/>
        </w:rPr>
      </w:pPr>
      <w:r>
        <w:rPr>
          <w:sz w:val="24"/>
          <w:szCs w:val="24"/>
        </w:rPr>
        <w:t xml:space="preserve"> </w:t>
      </w:r>
      <w:r w:rsidR="007638E9">
        <w:rPr>
          <w:sz w:val="24"/>
          <w:szCs w:val="24"/>
        </w:rPr>
        <w:t>a statement indicating the</w:t>
      </w:r>
      <w:r>
        <w:rPr>
          <w:sz w:val="24"/>
          <w:szCs w:val="24"/>
        </w:rPr>
        <w:t xml:space="preserve"> applicant</w:t>
      </w:r>
      <w:r w:rsidR="007638E9">
        <w:rPr>
          <w:sz w:val="24"/>
          <w:szCs w:val="24"/>
        </w:rPr>
        <w:t xml:space="preserve"> </w:t>
      </w:r>
      <w:r>
        <w:rPr>
          <w:sz w:val="24"/>
          <w:szCs w:val="24"/>
        </w:rPr>
        <w:t xml:space="preserve">may exercise their right to </w:t>
      </w:r>
      <w:r w:rsidR="00CE7A2A">
        <w:rPr>
          <w:sz w:val="24"/>
          <w:szCs w:val="24"/>
        </w:rPr>
        <w:t xml:space="preserve">an </w:t>
      </w:r>
      <w:r>
        <w:rPr>
          <w:sz w:val="24"/>
          <w:szCs w:val="24"/>
        </w:rPr>
        <w:t xml:space="preserve">internal review by informing the [ORGANIZATION CONTACT -i.e. Registrar] </w:t>
      </w:r>
      <w:r w:rsidR="00445707">
        <w:rPr>
          <w:sz w:val="24"/>
          <w:szCs w:val="24"/>
        </w:rPr>
        <w:t>[in writing]</w:t>
      </w:r>
      <w:r>
        <w:rPr>
          <w:sz w:val="24"/>
          <w:szCs w:val="24"/>
        </w:rPr>
        <w:t xml:space="preserve"> within [</w:t>
      </w:r>
      <w:r w:rsidR="00E72C34">
        <w:rPr>
          <w:sz w:val="24"/>
          <w:szCs w:val="24"/>
        </w:rPr>
        <w:t>30</w:t>
      </w:r>
      <w:r>
        <w:rPr>
          <w:sz w:val="24"/>
          <w:szCs w:val="24"/>
        </w:rPr>
        <w:t xml:space="preserve"> days] of this letter’s date. </w:t>
      </w:r>
    </w:p>
    <w:p w14:paraId="0A492197" w14:textId="54578400" w:rsidR="00903E39" w:rsidRDefault="00903E39" w:rsidP="00903E39">
      <w:pPr>
        <w:pStyle w:val="ListParagraph"/>
        <w:numPr>
          <w:ilvl w:val="0"/>
          <w:numId w:val="1"/>
        </w:numPr>
        <w:rPr>
          <w:sz w:val="24"/>
          <w:szCs w:val="24"/>
        </w:rPr>
      </w:pPr>
      <w:r>
        <w:rPr>
          <w:sz w:val="24"/>
          <w:szCs w:val="24"/>
        </w:rPr>
        <w:t xml:space="preserve">This Policy shall be attached to the </w:t>
      </w:r>
      <w:r w:rsidR="007638E9">
        <w:rPr>
          <w:sz w:val="24"/>
          <w:szCs w:val="24"/>
        </w:rPr>
        <w:t xml:space="preserve">decision </w:t>
      </w:r>
      <w:r>
        <w:rPr>
          <w:sz w:val="24"/>
          <w:szCs w:val="24"/>
        </w:rPr>
        <w:t xml:space="preserve">letter. </w:t>
      </w:r>
    </w:p>
    <w:p w14:paraId="2318A64C" w14:textId="5184D3E7" w:rsidR="00445707" w:rsidRDefault="00445707" w:rsidP="00445707">
      <w:pPr>
        <w:rPr>
          <w:b/>
          <w:sz w:val="24"/>
          <w:szCs w:val="24"/>
        </w:rPr>
      </w:pPr>
      <w:r>
        <w:rPr>
          <w:b/>
          <w:sz w:val="24"/>
          <w:szCs w:val="24"/>
        </w:rPr>
        <w:t>Requesting the Internal Review</w:t>
      </w:r>
    </w:p>
    <w:p w14:paraId="6FC2329C" w14:textId="59FD6EA8" w:rsidR="00445707" w:rsidRDefault="00E72C34" w:rsidP="00E72C34">
      <w:pPr>
        <w:pStyle w:val="ListParagraph"/>
        <w:numPr>
          <w:ilvl w:val="0"/>
          <w:numId w:val="1"/>
        </w:numPr>
        <w:rPr>
          <w:sz w:val="24"/>
          <w:szCs w:val="24"/>
        </w:rPr>
      </w:pPr>
      <w:r>
        <w:rPr>
          <w:sz w:val="24"/>
          <w:szCs w:val="24"/>
        </w:rPr>
        <w:t xml:space="preserve">Within </w:t>
      </w:r>
      <w:r w:rsidR="00370FB8">
        <w:rPr>
          <w:sz w:val="24"/>
          <w:szCs w:val="24"/>
        </w:rPr>
        <w:t>[</w:t>
      </w:r>
      <w:r>
        <w:rPr>
          <w:sz w:val="24"/>
          <w:szCs w:val="24"/>
        </w:rPr>
        <w:t>30 days</w:t>
      </w:r>
      <w:r w:rsidR="00370FB8">
        <w:rPr>
          <w:sz w:val="24"/>
          <w:szCs w:val="24"/>
        </w:rPr>
        <w:t>]</w:t>
      </w:r>
      <w:r>
        <w:rPr>
          <w:sz w:val="24"/>
          <w:szCs w:val="24"/>
        </w:rPr>
        <w:t xml:space="preserve"> of the letter’s date, the applicant may submit a written request for internal review of a registration decision via [email or mail].</w:t>
      </w:r>
    </w:p>
    <w:p w14:paraId="5F457282" w14:textId="57914A6B" w:rsidR="00E72C34" w:rsidRPr="00E72C34" w:rsidRDefault="00E72C34" w:rsidP="00E72C34">
      <w:pPr>
        <w:pStyle w:val="ListParagraph"/>
        <w:numPr>
          <w:ilvl w:val="0"/>
          <w:numId w:val="1"/>
        </w:numPr>
        <w:rPr>
          <w:sz w:val="24"/>
          <w:szCs w:val="24"/>
        </w:rPr>
      </w:pPr>
      <w:r>
        <w:rPr>
          <w:sz w:val="24"/>
          <w:szCs w:val="24"/>
        </w:rPr>
        <w:t xml:space="preserve">The applicant’s request for internal review </w:t>
      </w:r>
      <w:r w:rsidR="00370FB8">
        <w:rPr>
          <w:sz w:val="24"/>
          <w:szCs w:val="24"/>
        </w:rPr>
        <w:t xml:space="preserve">should </w:t>
      </w:r>
      <w:r>
        <w:rPr>
          <w:sz w:val="24"/>
          <w:szCs w:val="24"/>
        </w:rPr>
        <w:t xml:space="preserve">outline the basis for the review. </w:t>
      </w:r>
    </w:p>
    <w:p w14:paraId="28FA7F59" w14:textId="0A1207B2" w:rsidR="00B127B9" w:rsidRDefault="00B127B9" w:rsidP="00B127B9">
      <w:pPr>
        <w:rPr>
          <w:b/>
          <w:sz w:val="24"/>
          <w:szCs w:val="24"/>
        </w:rPr>
      </w:pPr>
      <w:r>
        <w:rPr>
          <w:b/>
          <w:sz w:val="24"/>
          <w:szCs w:val="24"/>
        </w:rPr>
        <w:t>Scheduling the Internal Review</w:t>
      </w:r>
    </w:p>
    <w:p w14:paraId="70BDEF2F" w14:textId="3C842379" w:rsidR="00B127B9" w:rsidRDefault="00B127B9" w:rsidP="00B127B9">
      <w:pPr>
        <w:pStyle w:val="ListParagraph"/>
        <w:numPr>
          <w:ilvl w:val="0"/>
          <w:numId w:val="1"/>
        </w:numPr>
        <w:rPr>
          <w:sz w:val="24"/>
          <w:szCs w:val="24"/>
        </w:rPr>
      </w:pPr>
      <w:r>
        <w:rPr>
          <w:sz w:val="24"/>
          <w:szCs w:val="24"/>
        </w:rPr>
        <w:t xml:space="preserve">Upon receipt of a request for internal review, the Registrar will notify the Internal Review Committee and </w:t>
      </w:r>
      <w:r w:rsidR="00690274">
        <w:rPr>
          <w:sz w:val="24"/>
          <w:szCs w:val="24"/>
        </w:rPr>
        <w:t>provide</w:t>
      </w:r>
      <w:r>
        <w:rPr>
          <w:sz w:val="24"/>
          <w:szCs w:val="24"/>
        </w:rPr>
        <w:t xml:space="preserve"> all records relating to the applicant</w:t>
      </w:r>
      <w:r w:rsidR="00F234EE">
        <w:rPr>
          <w:sz w:val="24"/>
          <w:szCs w:val="24"/>
        </w:rPr>
        <w:t>’</w:t>
      </w:r>
      <w:r>
        <w:rPr>
          <w:sz w:val="24"/>
          <w:szCs w:val="24"/>
        </w:rPr>
        <w:t xml:space="preserve">s application to the Committee within [7 days]. </w:t>
      </w:r>
    </w:p>
    <w:p w14:paraId="660D2234" w14:textId="77F02331" w:rsidR="00B127B9" w:rsidRDefault="00DD23CF" w:rsidP="00B127B9">
      <w:pPr>
        <w:pStyle w:val="ListParagraph"/>
        <w:numPr>
          <w:ilvl w:val="0"/>
          <w:numId w:val="1"/>
        </w:numPr>
        <w:rPr>
          <w:sz w:val="24"/>
          <w:szCs w:val="24"/>
        </w:rPr>
      </w:pPr>
      <w:r>
        <w:rPr>
          <w:sz w:val="24"/>
          <w:szCs w:val="24"/>
        </w:rPr>
        <w:t xml:space="preserve">The Internal Review Committee will contact the applicant within [14 days] of receipt of the application records to schedule the date for the </w:t>
      </w:r>
      <w:r w:rsidR="00690274">
        <w:rPr>
          <w:sz w:val="24"/>
          <w:szCs w:val="24"/>
        </w:rPr>
        <w:t>I</w:t>
      </w:r>
      <w:r>
        <w:rPr>
          <w:sz w:val="24"/>
          <w:szCs w:val="24"/>
        </w:rPr>
        <w:t xml:space="preserve">nternal </w:t>
      </w:r>
      <w:r w:rsidR="00690274">
        <w:rPr>
          <w:sz w:val="24"/>
          <w:szCs w:val="24"/>
        </w:rPr>
        <w:t>R</w:t>
      </w:r>
      <w:r>
        <w:rPr>
          <w:sz w:val="24"/>
          <w:szCs w:val="24"/>
        </w:rPr>
        <w:t xml:space="preserve">eview </w:t>
      </w:r>
      <w:r w:rsidR="00690274">
        <w:rPr>
          <w:sz w:val="24"/>
          <w:szCs w:val="24"/>
        </w:rPr>
        <w:t>H</w:t>
      </w:r>
      <w:r>
        <w:rPr>
          <w:sz w:val="24"/>
          <w:szCs w:val="24"/>
        </w:rPr>
        <w:t xml:space="preserve">earing. </w:t>
      </w:r>
    </w:p>
    <w:p w14:paraId="695A2638" w14:textId="6302F5CB" w:rsidR="00CA19EC" w:rsidRDefault="000B7B7A" w:rsidP="00CA19EC">
      <w:pPr>
        <w:pStyle w:val="ListParagraph"/>
        <w:numPr>
          <w:ilvl w:val="0"/>
          <w:numId w:val="1"/>
        </w:numPr>
        <w:rPr>
          <w:sz w:val="24"/>
          <w:szCs w:val="24"/>
        </w:rPr>
      </w:pPr>
      <w:r>
        <w:rPr>
          <w:sz w:val="24"/>
          <w:szCs w:val="24"/>
        </w:rPr>
        <w:t xml:space="preserve">The </w:t>
      </w:r>
      <w:r w:rsidR="00690274">
        <w:rPr>
          <w:sz w:val="24"/>
          <w:szCs w:val="24"/>
        </w:rPr>
        <w:t>I</w:t>
      </w:r>
      <w:r>
        <w:rPr>
          <w:sz w:val="24"/>
          <w:szCs w:val="24"/>
        </w:rPr>
        <w:t xml:space="preserve">nternal </w:t>
      </w:r>
      <w:r w:rsidR="00690274">
        <w:rPr>
          <w:sz w:val="24"/>
          <w:szCs w:val="24"/>
        </w:rPr>
        <w:t>R</w:t>
      </w:r>
      <w:r>
        <w:rPr>
          <w:sz w:val="24"/>
          <w:szCs w:val="24"/>
        </w:rPr>
        <w:t xml:space="preserve">eview </w:t>
      </w:r>
      <w:r w:rsidR="00690274">
        <w:rPr>
          <w:sz w:val="24"/>
          <w:szCs w:val="24"/>
        </w:rPr>
        <w:t>H</w:t>
      </w:r>
      <w:r>
        <w:rPr>
          <w:sz w:val="24"/>
          <w:szCs w:val="24"/>
        </w:rPr>
        <w:t>earing will take place within [60 days] of the re</w:t>
      </w:r>
      <w:r w:rsidR="00CA19EC">
        <w:rPr>
          <w:sz w:val="24"/>
          <w:szCs w:val="24"/>
        </w:rPr>
        <w:t>ceipt of application records by the Committee.</w:t>
      </w:r>
    </w:p>
    <w:p w14:paraId="1FB886AC" w14:textId="427EC32F" w:rsidR="00CA19EC" w:rsidRDefault="00CA19EC" w:rsidP="00CA19EC">
      <w:pPr>
        <w:rPr>
          <w:b/>
          <w:sz w:val="24"/>
          <w:szCs w:val="24"/>
        </w:rPr>
      </w:pPr>
      <w:r>
        <w:rPr>
          <w:b/>
          <w:sz w:val="24"/>
          <w:szCs w:val="24"/>
        </w:rPr>
        <w:t xml:space="preserve">Opportunity to Make Submissions </w:t>
      </w:r>
    </w:p>
    <w:p w14:paraId="1412B506" w14:textId="13B8CE68" w:rsidR="00CA19EC" w:rsidRDefault="00CA19EC" w:rsidP="00CA19EC">
      <w:pPr>
        <w:pStyle w:val="ListParagraph"/>
        <w:numPr>
          <w:ilvl w:val="0"/>
          <w:numId w:val="1"/>
        </w:numPr>
        <w:rPr>
          <w:sz w:val="24"/>
          <w:szCs w:val="24"/>
        </w:rPr>
      </w:pPr>
      <w:r>
        <w:rPr>
          <w:sz w:val="24"/>
          <w:szCs w:val="24"/>
        </w:rPr>
        <w:t xml:space="preserve">Either party may make submissions </w:t>
      </w:r>
      <w:r w:rsidR="00082B72">
        <w:rPr>
          <w:sz w:val="24"/>
          <w:szCs w:val="24"/>
        </w:rPr>
        <w:t>[</w:t>
      </w:r>
      <w:r>
        <w:rPr>
          <w:sz w:val="24"/>
          <w:szCs w:val="24"/>
        </w:rPr>
        <w:t>in writing</w:t>
      </w:r>
      <w:bookmarkStart w:id="0" w:name="_GoBack"/>
      <w:r>
        <w:rPr>
          <w:sz w:val="24"/>
          <w:szCs w:val="24"/>
        </w:rPr>
        <w:t>]</w:t>
      </w:r>
      <w:bookmarkEnd w:id="0"/>
      <w:r>
        <w:rPr>
          <w:sz w:val="24"/>
          <w:szCs w:val="24"/>
        </w:rPr>
        <w:t xml:space="preserve"> to the Committee within 30 days after the review has been scheduled. </w:t>
      </w:r>
    </w:p>
    <w:p w14:paraId="473709CB" w14:textId="26D83794" w:rsidR="00A67798" w:rsidRDefault="00A67798" w:rsidP="00CA19EC">
      <w:pPr>
        <w:pStyle w:val="ListParagraph"/>
        <w:numPr>
          <w:ilvl w:val="0"/>
          <w:numId w:val="1"/>
        </w:numPr>
        <w:rPr>
          <w:sz w:val="24"/>
          <w:szCs w:val="24"/>
        </w:rPr>
      </w:pPr>
      <w:r>
        <w:rPr>
          <w:sz w:val="24"/>
          <w:szCs w:val="24"/>
        </w:rPr>
        <w:t>The Committee will share submissions with both parties to review. The parties will be given at least [14 days] to review submissions in advance of the hearing date.</w:t>
      </w:r>
    </w:p>
    <w:p w14:paraId="1BF70FE4" w14:textId="77777777" w:rsidR="005B2A54" w:rsidRDefault="004B778F" w:rsidP="004B778F">
      <w:pPr>
        <w:rPr>
          <w:i/>
          <w:sz w:val="24"/>
          <w:szCs w:val="24"/>
        </w:rPr>
      </w:pPr>
      <w:r>
        <w:rPr>
          <w:sz w:val="24"/>
          <w:szCs w:val="24"/>
        </w:rPr>
        <w:t>[</w:t>
      </w:r>
      <w:r w:rsidR="004774A8">
        <w:rPr>
          <w:i/>
          <w:sz w:val="24"/>
          <w:szCs w:val="24"/>
        </w:rPr>
        <w:t xml:space="preserve">The development of a procedurally fair internal review policy and decision letter </w:t>
      </w:r>
      <w:r>
        <w:rPr>
          <w:i/>
          <w:sz w:val="24"/>
          <w:szCs w:val="24"/>
        </w:rPr>
        <w:t xml:space="preserve">is a requirement of the FRPA.  </w:t>
      </w:r>
      <w:r w:rsidR="004774A8">
        <w:rPr>
          <w:i/>
          <w:sz w:val="24"/>
          <w:szCs w:val="24"/>
        </w:rPr>
        <w:t xml:space="preserve">This includes the development of timelines that provide applicants with a </w:t>
      </w:r>
      <w:r>
        <w:rPr>
          <w:i/>
          <w:sz w:val="24"/>
          <w:szCs w:val="24"/>
        </w:rPr>
        <w:t>“reasonable” opportunity to make submissions. Try to achieve a balance between allowing the applicant a reasonable opportunity to make submissions and review submission</w:t>
      </w:r>
      <w:r w:rsidR="00C42DBC">
        <w:rPr>
          <w:i/>
          <w:sz w:val="24"/>
          <w:szCs w:val="24"/>
        </w:rPr>
        <w:t>s</w:t>
      </w:r>
    </w:p>
    <w:p w14:paraId="34245C89" w14:textId="1C4EF418" w:rsidR="004B778F" w:rsidRPr="004B778F" w:rsidRDefault="004B778F" w:rsidP="004B778F">
      <w:pPr>
        <w:rPr>
          <w:i/>
          <w:sz w:val="24"/>
          <w:szCs w:val="24"/>
        </w:rPr>
      </w:pPr>
      <w:r>
        <w:rPr>
          <w:i/>
          <w:sz w:val="24"/>
          <w:szCs w:val="24"/>
        </w:rPr>
        <w:t xml:space="preserve"> in advance of the hearing, while keeping the internal review process relatively timely.</w:t>
      </w:r>
      <w:r>
        <w:rPr>
          <w:sz w:val="24"/>
          <w:szCs w:val="24"/>
        </w:rPr>
        <w:t>]</w:t>
      </w:r>
      <w:r>
        <w:rPr>
          <w:i/>
          <w:sz w:val="24"/>
          <w:szCs w:val="24"/>
        </w:rPr>
        <w:t xml:space="preserve"> </w:t>
      </w:r>
    </w:p>
    <w:p w14:paraId="34201510" w14:textId="77777777" w:rsidR="00A67798" w:rsidRDefault="00A67798" w:rsidP="00A67798">
      <w:pPr>
        <w:rPr>
          <w:b/>
          <w:sz w:val="24"/>
          <w:szCs w:val="24"/>
        </w:rPr>
      </w:pPr>
      <w:r>
        <w:rPr>
          <w:b/>
          <w:sz w:val="24"/>
          <w:szCs w:val="24"/>
        </w:rPr>
        <w:t>Internal Review Hearing</w:t>
      </w:r>
    </w:p>
    <w:p w14:paraId="304F7E94" w14:textId="0E7180C5" w:rsidR="00A67798" w:rsidRDefault="00521EF3" w:rsidP="00521EF3">
      <w:pPr>
        <w:pStyle w:val="ListParagraph"/>
        <w:numPr>
          <w:ilvl w:val="0"/>
          <w:numId w:val="1"/>
        </w:numPr>
        <w:rPr>
          <w:sz w:val="24"/>
          <w:szCs w:val="24"/>
        </w:rPr>
      </w:pPr>
      <w:r>
        <w:rPr>
          <w:sz w:val="24"/>
          <w:szCs w:val="24"/>
        </w:rPr>
        <w:t>At the Internal Review Hearing, the Committee will review all submissions made by the parties.</w:t>
      </w:r>
    </w:p>
    <w:p w14:paraId="5F7348E1" w14:textId="1C898977" w:rsidR="00521EF3" w:rsidRDefault="00521EF3" w:rsidP="00521EF3">
      <w:pPr>
        <w:pStyle w:val="ListParagraph"/>
        <w:numPr>
          <w:ilvl w:val="0"/>
          <w:numId w:val="1"/>
        </w:numPr>
        <w:rPr>
          <w:sz w:val="24"/>
          <w:szCs w:val="24"/>
        </w:rPr>
      </w:pPr>
      <w:r>
        <w:rPr>
          <w:sz w:val="24"/>
          <w:szCs w:val="24"/>
        </w:rPr>
        <w:lastRenderedPageBreak/>
        <w:t>Both Parties will have the opportunity to appear</w:t>
      </w:r>
      <w:r w:rsidR="00120AE0">
        <w:rPr>
          <w:sz w:val="24"/>
          <w:szCs w:val="24"/>
        </w:rPr>
        <w:t xml:space="preserve"> and speak</w:t>
      </w:r>
      <w:r>
        <w:rPr>
          <w:sz w:val="24"/>
          <w:szCs w:val="24"/>
        </w:rPr>
        <w:t xml:space="preserve"> before the committee.</w:t>
      </w:r>
    </w:p>
    <w:p w14:paraId="5FFFF219" w14:textId="2D95FCEC" w:rsidR="00521EF3" w:rsidRDefault="00521EF3" w:rsidP="00521EF3">
      <w:pPr>
        <w:pStyle w:val="ListParagraph"/>
        <w:numPr>
          <w:ilvl w:val="0"/>
          <w:numId w:val="1"/>
        </w:numPr>
        <w:rPr>
          <w:sz w:val="24"/>
          <w:szCs w:val="24"/>
        </w:rPr>
      </w:pPr>
      <w:r>
        <w:rPr>
          <w:sz w:val="24"/>
          <w:szCs w:val="24"/>
        </w:rPr>
        <w:t>Parties may appear with or without legal counsel.</w:t>
      </w:r>
    </w:p>
    <w:p w14:paraId="6E14ACCB" w14:textId="3A8D7B04" w:rsidR="00690274" w:rsidRDefault="00690274" w:rsidP="00690274">
      <w:pPr>
        <w:rPr>
          <w:b/>
          <w:sz w:val="24"/>
          <w:szCs w:val="24"/>
        </w:rPr>
      </w:pPr>
      <w:r>
        <w:rPr>
          <w:b/>
          <w:sz w:val="24"/>
          <w:szCs w:val="24"/>
        </w:rPr>
        <w:t>The Internal Review Decision</w:t>
      </w:r>
    </w:p>
    <w:p w14:paraId="60B50A63" w14:textId="060E797C" w:rsidR="00690274" w:rsidRDefault="000F6211" w:rsidP="00690274">
      <w:pPr>
        <w:pStyle w:val="ListParagraph"/>
        <w:numPr>
          <w:ilvl w:val="0"/>
          <w:numId w:val="1"/>
        </w:numPr>
        <w:rPr>
          <w:sz w:val="24"/>
          <w:szCs w:val="24"/>
        </w:rPr>
      </w:pPr>
      <w:r>
        <w:rPr>
          <w:sz w:val="24"/>
          <w:szCs w:val="24"/>
        </w:rPr>
        <w:t xml:space="preserve">The Committee will render its decision based on careful consideration of all </w:t>
      </w:r>
      <w:r w:rsidR="00120AE0">
        <w:rPr>
          <w:sz w:val="24"/>
          <w:szCs w:val="24"/>
        </w:rPr>
        <w:t xml:space="preserve">written </w:t>
      </w:r>
      <w:r>
        <w:rPr>
          <w:sz w:val="24"/>
          <w:szCs w:val="24"/>
        </w:rPr>
        <w:t xml:space="preserve">submissions and oral presentations at the Hearing. </w:t>
      </w:r>
    </w:p>
    <w:p w14:paraId="203F3BC0" w14:textId="3A2031FE" w:rsidR="0082268F" w:rsidRDefault="0082268F" w:rsidP="00690274">
      <w:pPr>
        <w:pStyle w:val="ListParagraph"/>
        <w:numPr>
          <w:ilvl w:val="0"/>
          <w:numId w:val="1"/>
        </w:numPr>
        <w:rPr>
          <w:sz w:val="24"/>
          <w:szCs w:val="24"/>
        </w:rPr>
      </w:pPr>
      <w:r>
        <w:rPr>
          <w:sz w:val="24"/>
          <w:szCs w:val="24"/>
        </w:rPr>
        <w:t xml:space="preserve">The Committee may uphold the rejection of the applicant or order the Registrar to reverse the decision and </w:t>
      </w:r>
      <w:r w:rsidR="00120AE0">
        <w:rPr>
          <w:sz w:val="24"/>
          <w:szCs w:val="24"/>
        </w:rPr>
        <w:t xml:space="preserve">register </w:t>
      </w:r>
      <w:r>
        <w:rPr>
          <w:sz w:val="24"/>
          <w:szCs w:val="24"/>
        </w:rPr>
        <w:t xml:space="preserve">the applicant. The Committee may require terms, conditions, or restrictions be imposed on the applicant’s license as a condition of licensure. </w:t>
      </w:r>
      <w:r w:rsidR="00120AE0">
        <w:rPr>
          <w:sz w:val="24"/>
          <w:szCs w:val="24"/>
        </w:rPr>
        <w:t>[</w:t>
      </w:r>
      <w:r w:rsidR="00120AE0">
        <w:rPr>
          <w:i/>
          <w:iCs/>
          <w:sz w:val="24"/>
          <w:szCs w:val="24"/>
        </w:rPr>
        <w:t>The ability to impose terms, conditions or restrictions must be within what is set out in the regulatory body’s governing legislation</w:t>
      </w:r>
      <w:r w:rsidR="00082B72">
        <w:rPr>
          <w:i/>
          <w:iCs/>
          <w:sz w:val="24"/>
          <w:szCs w:val="24"/>
        </w:rPr>
        <w:t xml:space="preserve"> and consistent with the regulatory body’s obligations under the Canadian Free Trade Agreement Implementation Act if applicable</w:t>
      </w:r>
      <w:r w:rsidR="00120AE0">
        <w:rPr>
          <w:i/>
          <w:iCs/>
          <w:sz w:val="24"/>
          <w:szCs w:val="24"/>
        </w:rPr>
        <w:t>].</w:t>
      </w:r>
    </w:p>
    <w:p w14:paraId="4938094E" w14:textId="43242F03" w:rsidR="000F6211" w:rsidRDefault="000F6211" w:rsidP="00690274">
      <w:pPr>
        <w:pStyle w:val="ListParagraph"/>
        <w:numPr>
          <w:ilvl w:val="0"/>
          <w:numId w:val="1"/>
        </w:numPr>
        <w:rPr>
          <w:sz w:val="24"/>
          <w:szCs w:val="24"/>
        </w:rPr>
      </w:pPr>
      <w:r>
        <w:rPr>
          <w:sz w:val="24"/>
          <w:szCs w:val="24"/>
        </w:rPr>
        <w:t xml:space="preserve">A decision will </w:t>
      </w:r>
      <w:r w:rsidR="0082268F">
        <w:rPr>
          <w:sz w:val="24"/>
          <w:szCs w:val="24"/>
        </w:rPr>
        <w:t>be reached</w:t>
      </w:r>
      <w:r>
        <w:rPr>
          <w:sz w:val="24"/>
          <w:szCs w:val="24"/>
        </w:rPr>
        <w:t xml:space="preserve"> within [14 days] of the hearing, at which point both Parties will be informed in writing. </w:t>
      </w:r>
    </w:p>
    <w:p w14:paraId="12900AF6" w14:textId="5E2C6672" w:rsidR="000F6211" w:rsidRDefault="000F6211" w:rsidP="00690274">
      <w:pPr>
        <w:pStyle w:val="ListParagraph"/>
        <w:numPr>
          <w:ilvl w:val="0"/>
          <w:numId w:val="1"/>
        </w:numPr>
        <w:rPr>
          <w:sz w:val="24"/>
          <w:szCs w:val="24"/>
        </w:rPr>
      </w:pPr>
      <w:r>
        <w:rPr>
          <w:sz w:val="24"/>
          <w:szCs w:val="24"/>
        </w:rPr>
        <w:t xml:space="preserve">The decision will be issued to the applicant via [mail or email] with reasons. </w:t>
      </w:r>
    </w:p>
    <w:p w14:paraId="686313E1" w14:textId="6278B1D9" w:rsidR="0082268F" w:rsidRDefault="0082268F" w:rsidP="00690274">
      <w:pPr>
        <w:pStyle w:val="ListParagraph"/>
        <w:numPr>
          <w:ilvl w:val="0"/>
          <w:numId w:val="1"/>
        </w:numPr>
        <w:rPr>
          <w:sz w:val="24"/>
          <w:szCs w:val="24"/>
        </w:rPr>
      </w:pPr>
      <w:r>
        <w:rPr>
          <w:sz w:val="24"/>
          <w:szCs w:val="24"/>
        </w:rPr>
        <w:t>If the Committee issues a decision to reverse the Registrar’s decision and license the applicant</w:t>
      </w:r>
      <w:r w:rsidR="004B778F">
        <w:rPr>
          <w:sz w:val="24"/>
          <w:szCs w:val="24"/>
        </w:rPr>
        <w:t xml:space="preserve">, the Registrar must </w:t>
      </w:r>
      <w:r w:rsidR="00120AE0">
        <w:rPr>
          <w:sz w:val="24"/>
          <w:szCs w:val="24"/>
        </w:rPr>
        <w:t>register</w:t>
      </w:r>
      <w:r w:rsidR="004B778F">
        <w:rPr>
          <w:sz w:val="24"/>
          <w:szCs w:val="24"/>
        </w:rPr>
        <w:t xml:space="preserve"> the applicant within [7 days]. </w:t>
      </w:r>
    </w:p>
    <w:p w14:paraId="554F684E" w14:textId="7FD197BC" w:rsidR="0082268F" w:rsidRDefault="0082268F" w:rsidP="0082268F">
      <w:pPr>
        <w:pStyle w:val="ListParagraph"/>
        <w:numPr>
          <w:ilvl w:val="0"/>
          <w:numId w:val="1"/>
        </w:numPr>
        <w:rPr>
          <w:sz w:val="24"/>
          <w:szCs w:val="24"/>
        </w:rPr>
      </w:pPr>
      <w:r>
        <w:rPr>
          <w:sz w:val="24"/>
          <w:szCs w:val="24"/>
        </w:rPr>
        <w:t>[The decision of the Internal Review Committee is final.]</w:t>
      </w:r>
    </w:p>
    <w:p w14:paraId="717114C7" w14:textId="1A37100E" w:rsidR="004B778F" w:rsidRDefault="004B778F" w:rsidP="004B778F">
      <w:pPr>
        <w:rPr>
          <w:sz w:val="24"/>
          <w:szCs w:val="24"/>
        </w:rPr>
      </w:pPr>
    </w:p>
    <w:p w14:paraId="4D6FA301" w14:textId="77777777" w:rsidR="004B778F" w:rsidRPr="004B778F" w:rsidRDefault="004B778F" w:rsidP="004B778F">
      <w:pPr>
        <w:rPr>
          <w:sz w:val="24"/>
          <w:szCs w:val="24"/>
        </w:rPr>
      </w:pPr>
    </w:p>
    <w:sectPr w:rsidR="004B778F" w:rsidRPr="004B778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AA524" w14:textId="77777777" w:rsidR="001E0747" w:rsidRDefault="001E0747" w:rsidP="001E0747">
      <w:pPr>
        <w:spacing w:after="0" w:line="240" w:lineRule="auto"/>
      </w:pPr>
      <w:r>
        <w:separator/>
      </w:r>
    </w:p>
  </w:endnote>
  <w:endnote w:type="continuationSeparator" w:id="0">
    <w:p w14:paraId="7D01138A" w14:textId="77777777" w:rsidR="001E0747" w:rsidRDefault="001E0747" w:rsidP="001E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294215683"/>
        <w:docPartObj>
          <w:docPartGallery w:val="Page Numbers (Bottom of Page)"/>
          <w:docPartUnique/>
        </w:docPartObj>
      </w:sdtPr>
      <w:sdtEndPr>
        <w:rPr>
          <w:rFonts w:asciiTheme="minorHAnsi" w:eastAsiaTheme="minorHAnsi" w:hAnsiTheme="minorHAnsi" w:cstheme="minorBidi"/>
          <w:noProof/>
          <w:sz w:val="22"/>
          <w:szCs w:val="22"/>
        </w:rPr>
      </w:sdtEndPr>
      <w:sdtContent>
        <w:tr w:rsidR="001E0747" w14:paraId="102C2FDE" w14:textId="77777777">
          <w:trPr>
            <w:trHeight w:val="727"/>
          </w:trPr>
          <w:tc>
            <w:tcPr>
              <w:tcW w:w="4000" w:type="pct"/>
              <w:tcBorders>
                <w:right w:val="triple" w:sz="4" w:space="0" w:color="4472C4" w:themeColor="accent1"/>
              </w:tcBorders>
            </w:tcPr>
            <w:p w14:paraId="0D6C477C" w14:textId="32D2BB73" w:rsidR="001E0747" w:rsidRDefault="001E0747">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0DFF249C" w14:textId="0A351E29" w:rsidR="001E0747" w:rsidRDefault="001E0747">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Pr>
                  <w:noProof/>
                </w:rPr>
                <w:t>2</w:t>
              </w:r>
              <w:r>
                <w:rPr>
                  <w:noProof/>
                </w:rPr>
                <w:fldChar w:fldCharType="end"/>
              </w:r>
            </w:p>
          </w:tc>
        </w:tr>
      </w:sdtContent>
    </w:sdt>
  </w:tbl>
  <w:p w14:paraId="7B1A247F" w14:textId="77777777" w:rsidR="001E0747" w:rsidRDefault="001E0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B07CE" w14:textId="77777777" w:rsidR="001E0747" w:rsidRDefault="001E0747" w:rsidP="001E0747">
      <w:pPr>
        <w:spacing w:after="0" w:line="240" w:lineRule="auto"/>
      </w:pPr>
      <w:r>
        <w:separator/>
      </w:r>
    </w:p>
  </w:footnote>
  <w:footnote w:type="continuationSeparator" w:id="0">
    <w:p w14:paraId="6F31811F" w14:textId="77777777" w:rsidR="001E0747" w:rsidRDefault="001E0747" w:rsidP="001E0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1D01F" w14:textId="434BEE9B" w:rsidR="001E0747" w:rsidRDefault="001E0747">
    <w:pPr>
      <w:pStyle w:val="Header"/>
    </w:pPr>
    <w:r>
      <w:rPr>
        <w:noProof/>
      </w:rPr>
      <w:drawing>
        <wp:inline distT="0" distB="0" distL="0" distR="0" wp14:anchorId="5A9CF31E" wp14:editId="7E12AA8A">
          <wp:extent cx="1537137"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rRegistrationLogo.jpg"/>
                  <pic:cNvPicPr/>
                </pic:nvPicPr>
                <pic:blipFill>
                  <a:blip r:embed="rId1">
                    <a:extLst>
                      <a:ext uri="{28A0092B-C50C-407E-A947-70E740481C1C}">
                        <a14:useLocalDpi xmlns:a14="http://schemas.microsoft.com/office/drawing/2010/main" val="0"/>
                      </a:ext>
                    </a:extLst>
                  </a:blip>
                  <a:stretch>
                    <a:fillRect/>
                  </a:stretch>
                </pic:blipFill>
                <pic:spPr>
                  <a:xfrm>
                    <a:off x="0" y="0"/>
                    <a:ext cx="1551630" cy="7499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56C4"/>
    <w:multiLevelType w:val="hybridMultilevel"/>
    <w:tmpl w:val="E03CDB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3B880FA2"/>
    <w:multiLevelType w:val="hybridMultilevel"/>
    <w:tmpl w:val="E3F4A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1EF38DD"/>
    <w:multiLevelType w:val="hybridMultilevel"/>
    <w:tmpl w:val="33E2C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EC2A0D"/>
    <w:multiLevelType w:val="hybridMultilevel"/>
    <w:tmpl w:val="0EE6F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E39"/>
    <w:rsid w:val="00082B72"/>
    <w:rsid w:val="000B7B7A"/>
    <w:rsid w:val="000F6211"/>
    <w:rsid w:val="00120AE0"/>
    <w:rsid w:val="001E0747"/>
    <w:rsid w:val="00370FB8"/>
    <w:rsid w:val="003812EF"/>
    <w:rsid w:val="00445707"/>
    <w:rsid w:val="004502D2"/>
    <w:rsid w:val="004774A8"/>
    <w:rsid w:val="004B778F"/>
    <w:rsid w:val="00521EF3"/>
    <w:rsid w:val="00576DA9"/>
    <w:rsid w:val="005B2A54"/>
    <w:rsid w:val="00690274"/>
    <w:rsid w:val="007638E9"/>
    <w:rsid w:val="00804D3E"/>
    <w:rsid w:val="0082268F"/>
    <w:rsid w:val="008258E3"/>
    <w:rsid w:val="00897762"/>
    <w:rsid w:val="00903E39"/>
    <w:rsid w:val="009C073C"/>
    <w:rsid w:val="00A67798"/>
    <w:rsid w:val="00B05759"/>
    <w:rsid w:val="00B127B9"/>
    <w:rsid w:val="00B50012"/>
    <w:rsid w:val="00C42DBC"/>
    <w:rsid w:val="00CA19EC"/>
    <w:rsid w:val="00CB4349"/>
    <w:rsid w:val="00CE6EEB"/>
    <w:rsid w:val="00CE7A2A"/>
    <w:rsid w:val="00D81D89"/>
    <w:rsid w:val="00DD23CF"/>
    <w:rsid w:val="00DF39B3"/>
    <w:rsid w:val="00E72C34"/>
    <w:rsid w:val="00F2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49F756C"/>
  <w15:chartTrackingRefBased/>
  <w15:docId w15:val="{2BA66CFA-A847-430E-84A2-5B59C8C5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E39"/>
    <w:pPr>
      <w:ind w:left="720"/>
      <w:contextualSpacing/>
    </w:pPr>
  </w:style>
  <w:style w:type="character" w:styleId="CommentReference">
    <w:name w:val="annotation reference"/>
    <w:basedOn w:val="DefaultParagraphFont"/>
    <w:uiPriority w:val="99"/>
    <w:semiHidden/>
    <w:unhideWhenUsed/>
    <w:rsid w:val="001E0747"/>
    <w:rPr>
      <w:sz w:val="16"/>
      <w:szCs w:val="16"/>
    </w:rPr>
  </w:style>
  <w:style w:type="paragraph" w:styleId="CommentText">
    <w:name w:val="annotation text"/>
    <w:basedOn w:val="Normal"/>
    <w:link w:val="CommentTextChar"/>
    <w:uiPriority w:val="99"/>
    <w:semiHidden/>
    <w:unhideWhenUsed/>
    <w:rsid w:val="001E0747"/>
    <w:pPr>
      <w:spacing w:line="240" w:lineRule="auto"/>
    </w:pPr>
    <w:rPr>
      <w:sz w:val="20"/>
      <w:szCs w:val="20"/>
    </w:rPr>
  </w:style>
  <w:style w:type="character" w:customStyle="1" w:styleId="CommentTextChar">
    <w:name w:val="Comment Text Char"/>
    <w:basedOn w:val="DefaultParagraphFont"/>
    <w:link w:val="CommentText"/>
    <w:uiPriority w:val="99"/>
    <w:semiHidden/>
    <w:rsid w:val="001E0747"/>
    <w:rPr>
      <w:sz w:val="20"/>
      <w:szCs w:val="20"/>
    </w:rPr>
  </w:style>
  <w:style w:type="paragraph" w:styleId="CommentSubject">
    <w:name w:val="annotation subject"/>
    <w:basedOn w:val="CommentText"/>
    <w:next w:val="CommentText"/>
    <w:link w:val="CommentSubjectChar"/>
    <w:uiPriority w:val="99"/>
    <w:semiHidden/>
    <w:unhideWhenUsed/>
    <w:rsid w:val="001E0747"/>
    <w:rPr>
      <w:b/>
      <w:bCs/>
    </w:rPr>
  </w:style>
  <w:style w:type="character" w:customStyle="1" w:styleId="CommentSubjectChar">
    <w:name w:val="Comment Subject Char"/>
    <w:basedOn w:val="CommentTextChar"/>
    <w:link w:val="CommentSubject"/>
    <w:uiPriority w:val="99"/>
    <w:semiHidden/>
    <w:rsid w:val="001E0747"/>
    <w:rPr>
      <w:b/>
      <w:bCs/>
      <w:sz w:val="20"/>
      <w:szCs w:val="20"/>
    </w:rPr>
  </w:style>
  <w:style w:type="paragraph" w:styleId="BalloonText">
    <w:name w:val="Balloon Text"/>
    <w:basedOn w:val="Normal"/>
    <w:link w:val="BalloonTextChar"/>
    <w:uiPriority w:val="99"/>
    <w:semiHidden/>
    <w:unhideWhenUsed/>
    <w:rsid w:val="001E0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747"/>
    <w:rPr>
      <w:rFonts w:ascii="Segoe UI" w:hAnsi="Segoe UI" w:cs="Segoe UI"/>
      <w:sz w:val="18"/>
      <w:szCs w:val="18"/>
    </w:rPr>
  </w:style>
  <w:style w:type="paragraph" w:styleId="Header">
    <w:name w:val="header"/>
    <w:basedOn w:val="Normal"/>
    <w:link w:val="HeaderChar"/>
    <w:uiPriority w:val="99"/>
    <w:unhideWhenUsed/>
    <w:rsid w:val="001E0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747"/>
  </w:style>
  <w:style w:type="paragraph" w:styleId="Footer">
    <w:name w:val="footer"/>
    <w:basedOn w:val="Normal"/>
    <w:link w:val="FooterChar"/>
    <w:uiPriority w:val="99"/>
    <w:unhideWhenUsed/>
    <w:rsid w:val="001E0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4BAC4-8F50-4623-8618-01F8C55A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Spittal, Cara J</dc:creator>
  <cp:keywords/>
  <dc:description/>
  <cp:lastModifiedBy>MacDonald, Carmen W</cp:lastModifiedBy>
  <cp:revision>2</cp:revision>
  <dcterms:created xsi:type="dcterms:W3CDTF">2020-02-04T15:44:00Z</dcterms:created>
  <dcterms:modified xsi:type="dcterms:W3CDTF">2020-02-04T15:44:00Z</dcterms:modified>
</cp:coreProperties>
</file>